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012016">
        <w:rPr>
          <w:rFonts w:ascii="Arial" w:hAnsi="Arial" w:cs="Arial"/>
          <w:color w:val="4BACC6" w:themeColor="accent5"/>
          <w:sz w:val="24"/>
          <w:szCs w:val="24"/>
        </w:rPr>
        <w:t>diecisiete</w:t>
      </w:r>
      <w:r w:rsidR="00322003">
        <w:rPr>
          <w:rFonts w:ascii="Arial" w:hAnsi="Arial" w:cs="Arial"/>
          <w:color w:val="4BACC6" w:themeColor="accent5"/>
          <w:sz w:val="24"/>
          <w:szCs w:val="24"/>
        </w:rPr>
        <w:t xml:space="preserve"> de </w:t>
      </w:r>
      <w:r w:rsidR="00174799">
        <w:rPr>
          <w:rFonts w:ascii="Arial" w:hAnsi="Arial" w:cs="Arial"/>
          <w:color w:val="4BACC6" w:themeColor="accent5"/>
          <w:sz w:val="24"/>
          <w:szCs w:val="24"/>
        </w:rPr>
        <w:t>enero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977800">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Pr="00952799" w:rsidRDefault="00322003"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w:t>
      </w:r>
      <w:r w:rsidR="00174799" w:rsidRPr="00952799">
        <w:rPr>
          <w:rFonts w:cs="Arial"/>
          <w:i/>
          <w:color w:val="4BACC6" w:themeColor="accent5"/>
          <w:sz w:val="20"/>
        </w:rPr>
        <w:t>8</w:t>
      </w:r>
      <w:r w:rsidRPr="00952799">
        <w:rPr>
          <w:rFonts w:cs="Arial"/>
          <w:i/>
          <w:color w:val="4BACC6" w:themeColor="accent5"/>
          <w:sz w:val="20"/>
        </w:rPr>
        <w:t>.</w:t>
      </w:r>
      <w:r w:rsidR="00012016">
        <w:rPr>
          <w:rFonts w:cs="Arial"/>
          <w:i/>
          <w:color w:val="4BACC6" w:themeColor="accent5"/>
          <w:sz w:val="20"/>
        </w:rPr>
        <w:t>3</w:t>
      </w:r>
      <w:r w:rsidRPr="00952799">
        <w:rPr>
          <w:rFonts w:cs="Arial"/>
          <w:i/>
          <w:color w:val="4BACC6" w:themeColor="accent5"/>
          <w:sz w:val="20"/>
        </w:rPr>
        <w:t xml:space="preserve">. Sentido y </w:t>
      </w:r>
      <w:r w:rsidR="00174799" w:rsidRPr="00952799">
        <w:rPr>
          <w:rFonts w:cs="Arial"/>
          <w:i/>
          <w:color w:val="4BACC6" w:themeColor="accent5"/>
          <w:sz w:val="20"/>
        </w:rPr>
        <w:t>e</w:t>
      </w:r>
      <w:r w:rsidRPr="00952799">
        <w:rPr>
          <w:rFonts w:cs="Arial"/>
          <w:i/>
          <w:color w:val="4BACC6" w:themeColor="accent5"/>
          <w:sz w:val="20"/>
        </w:rPr>
        <w:t>fectos de la resolución.</w:t>
      </w:r>
    </w:p>
    <w:p w:rsidR="00322003" w:rsidRPr="00952799" w:rsidRDefault="00322003" w:rsidP="005A774A">
      <w:pPr>
        <w:pStyle w:val="corte4fondo"/>
        <w:tabs>
          <w:tab w:val="left" w:pos="567"/>
        </w:tabs>
        <w:spacing w:line="240" w:lineRule="auto"/>
        <w:rPr>
          <w:rFonts w:cs="Arial"/>
          <w:i/>
          <w:color w:val="4BACC6" w:themeColor="accent5"/>
          <w:sz w:val="20"/>
        </w:rPr>
      </w:pPr>
    </w:p>
    <w:p w:rsidR="00322003" w:rsidRPr="00952799" w:rsidRDefault="00174799"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 xml:space="preserve">En las condiciones anotadas y, al haber resultado fundado el agravio que hizo valer el recurrente, </w:t>
      </w:r>
      <w:r w:rsidR="00012016">
        <w:rPr>
          <w:rFonts w:cs="Arial"/>
          <w:i/>
          <w:color w:val="4BACC6" w:themeColor="accent5"/>
          <w:sz w:val="20"/>
        </w:rPr>
        <w:t xml:space="preserve">lo procedente es que este órgano </w:t>
      </w:r>
      <w:r w:rsidRPr="00952799">
        <w:rPr>
          <w:rFonts w:cs="Arial"/>
          <w:i/>
          <w:color w:val="4BACC6" w:themeColor="accent5"/>
          <w:sz w:val="20"/>
        </w:rPr>
        <w:t xml:space="preserve">colegiado de conformidad con el articulo </w:t>
      </w:r>
      <w:r w:rsidR="00286EF5" w:rsidRPr="00952799">
        <w:rPr>
          <w:rFonts w:cs="Arial"/>
          <w:i/>
          <w:color w:val="4BACC6" w:themeColor="accent5"/>
          <w:sz w:val="20"/>
        </w:rPr>
        <w:t>175, fracción lll</w:t>
      </w:r>
      <w:r w:rsidR="00012016">
        <w:rPr>
          <w:rFonts w:cs="Arial"/>
          <w:i/>
          <w:color w:val="4BACC6" w:themeColor="accent5"/>
          <w:sz w:val="20"/>
        </w:rPr>
        <w:t>,</w:t>
      </w:r>
      <w:r w:rsidR="00286EF5" w:rsidRPr="00952799">
        <w:rPr>
          <w:rFonts w:cs="Arial"/>
          <w:i/>
          <w:color w:val="4BACC6" w:themeColor="accent5"/>
          <w:sz w:val="20"/>
        </w:rPr>
        <w:t xml:space="preserve"> de la Ley de Transparencia </w:t>
      </w:r>
      <w:r w:rsidR="00467AA8" w:rsidRPr="00952799">
        <w:rPr>
          <w:rFonts w:cs="Arial"/>
          <w:i/>
          <w:color w:val="4BACC6" w:themeColor="accent5"/>
          <w:sz w:val="20"/>
        </w:rPr>
        <w:t xml:space="preserve">y Acceso a la Información </w:t>
      </w:r>
      <w:r w:rsidR="00322003" w:rsidRPr="00952799">
        <w:rPr>
          <w:rFonts w:cs="Arial"/>
          <w:i/>
          <w:color w:val="4BACC6" w:themeColor="accent5"/>
          <w:sz w:val="20"/>
        </w:rPr>
        <w:t>P</w:t>
      </w:r>
      <w:r w:rsidR="00467AA8" w:rsidRPr="00952799">
        <w:rPr>
          <w:rFonts w:cs="Arial"/>
          <w:i/>
          <w:color w:val="4BACC6" w:themeColor="accent5"/>
          <w:sz w:val="20"/>
        </w:rPr>
        <w:t xml:space="preserve">ública del Estado </w:t>
      </w:r>
      <w:r w:rsidR="00012016">
        <w:rPr>
          <w:rFonts w:cs="Arial"/>
          <w:b/>
          <w:i/>
          <w:color w:val="4BACC6" w:themeColor="accent5"/>
          <w:sz w:val="20"/>
        </w:rPr>
        <w:t>m</w:t>
      </w:r>
      <w:r w:rsidR="00467AA8" w:rsidRPr="00952799">
        <w:rPr>
          <w:rFonts w:cs="Arial"/>
          <w:b/>
          <w:i/>
          <w:color w:val="4BACC6" w:themeColor="accent5"/>
          <w:sz w:val="20"/>
        </w:rPr>
        <w:t xml:space="preserve">odifica </w:t>
      </w:r>
      <w:r w:rsidR="00467AA8" w:rsidRPr="00952799">
        <w:rPr>
          <w:rFonts w:cs="Arial"/>
          <w:i/>
          <w:color w:val="4BACC6" w:themeColor="accent5"/>
          <w:sz w:val="20"/>
        </w:rPr>
        <w:t xml:space="preserve">la respuesta </w:t>
      </w:r>
      <w:r w:rsidRPr="00952799">
        <w:rPr>
          <w:rFonts w:cs="Arial"/>
          <w:i/>
          <w:color w:val="4BACC6" w:themeColor="accent5"/>
          <w:sz w:val="20"/>
        </w:rPr>
        <w:t xml:space="preserve">proporcionada por los </w:t>
      </w:r>
      <w:r w:rsidR="00012016">
        <w:rPr>
          <w:rFonts w:cs="Arial"/>
          <w:i/>
          <w:color w:val="4BACC6" w:themeColor="accent5"/>
          <w:sz w:val="20"/>
        </w:rPr>
        <w:t xml:space="preserve">sujetos </w:t>
      </w:r>
      <w:r w:rsidRPr="00952799">
        <w:rPr>
          <w:rFonts w:cs="Arial"/>
          <w:i/>
          <w:color w:val="4BACC6" w:themeColor="accent5"/>
          <w:sz w:val="20"/>
        </w:rPr>
        <w:t>obligados y, por lo tanto los conmina a que emita otra respuesta en la que</w:t>
      </w:r>
      <w:r w:rsidR="00012016">
        <w:rPr>
          <w:rFonts w:cs="Arial"/>
          <w:i/>
          <w:color w:val="4BACC6" w:themeColor="accent5"/>
          <w:sz w:val="20"/>
        </w:rPr>
        <w:t xml:space="preserve"> </w:t>
      </w:r>
      <w:r w:rsidR="002C2771">
        <w:rPr>
          <w:rFonts w:cs="Arial"/>
          <w:i/>
          <w:color w:val="4BACC6" w:themeColor="accent5"/>
          <w:sz w:val="20"/>
        </w:rPr>
        <w:t>permita el acceso a la información a la información sobre</w:t>
      </w:r>
      <w:r w:rsidRPr="00952799">
        <w:rPr>
          <w:rFonts w:cs="Arial"/>
          <w:i/>
          <w:color w:val="4BACC6" w:themeColor="accent5"/>
          <w:sz w:val="20"/>
        </w:rPr>
        <w:t>:</w:t>
      </w:r>
    </w:p>
    <w:p w:rsidR="00322003" w:rsidRPr="00952799" w:rsidRDefault="00322003" w:rsidP="005A774A">
      <w:pPr>
        <w:pStyle w:val="corte4fondo"/>
        <w:tabs>
          <w:tab w:val="left" w:pos="567"/>
        </w:tabs>
        <w:spacing w:line="240" w:lineRule="auto"/>
        <w:rPr>
          <w:rFonts w:cs="Arial"/>
          <w:i/>
          <w:color w:val="4BACC6" w:themeColor="accent5"/>
          <w:sz w:val="20"/>
        </w:rPr>
      </w:pPr>
    </w:p>
    <w:p w:rsidR="00174799" w:rsidRPr="00952799" w:rsidRDefault="002C2771" w:rsidP="005A774A">
      <w:pPr>
        <w:pStyle w:val="corte4fondo"/>
        <w:tabs>
          <w:tab w:val="left" w:pos="567"/>
        </w:tabs>
        <w:spacing w:line="240" w:lineRule="auto"/>
        <w:rPr>
          <w:rFonts w:cs="Arial"/>
          <w:i/>
          <w:color w:val="4BACC6" w:themeColor="accent5"/>
          <w:sz w:val="20"/>
        </w:rPr>
      </w:pPr>
      <w:r>
        <w:rPr>
          <w:rFonts w:cs="Arial"/>
          <w:i/>
          <w:color w:val="4BACC6" w:themeColor="accent5"/>
          <w:sz w:val="20"/>
        </w:rPr>
        <w:t>a)</w:t>
      </w:r>
      <w:r w:rsidR="00322003" w:rsidRPr="00952799">
        <w:rPr>
          <w:rFonts w:cs="Arial"/>
          <w:i/>
          <w:color w:val="4BACC6" w:themeColor="accent5"/>
          <w:sz w:val="20"/>
        </w:rPr>
        <w:t xml:space="preserve"> </w:t>
      </w:r>
      <w:r>
        <w:rPr>
          <w:rFonts w:cs="Arial"/>
          <w:i/>
          <w:color w:val="4BACC6" w:themeColor="accent5"/>
          <w:sz w:val="20"/>
        </w:rPr>
        <w:t xml:space="preserve">El número (cuántos) </w:t>
      </w:r>
      <w:r w:rsidR="00AC2697">
        <w:rPr>
          <w:rFonts w:cs="Arial"/>
          <w:i/>
          <w:color w:val="4BACC6" w:themeColor="accent5"/>
          <w:sz w:val="20"/>
        </w:rPr>
        <w:t xml:space="preserve">y número de expedientes de todos y cada de los procedimiento de responsabilidad administrativa que fueron instaurados por la contraloría interna de la UASLP y que son derivados de las observaciones administrativas </w:t>
      </w:r>
      <w:r w:rsidR="000E5BF5">
        <w:rPr>
          <w:rFonts w:cs="Arial"/>
          <w:i/>
          <w:color w:val="4BACC6" w:themeColor="accent5"/>
          <w:sz w:val="20"/>
        </w:rPr>
        <w:t xml:space="preserve">no solventadas motivo de la revisión de las cuentas públicas hechas por la ASE en los años 2012, dos mil doce 2013 dos mil trece, 2014 dos mil catorce, </w:t>
      </w:r>
      <w:r w:rsidR="00815644">
        <w:rPr>
          <w:rFonts w:cs="Arial"/>
          <w:i/>
          <w:color w:val="4BACC6" w:themeColor="accent5"/>
          <w:sz w:val="20"/>
        </w:rPr>
        <w:t>2015 dos mil quince, 2016 dos mil dieciséis.</w:t>
      </w:r>
    </w:p>
    <w:p w:rsidR="00322003" w:rsidRPr="00952799" w:rsidRDefault="00322003" w:rsidP="005A774A">
      <w:pPr>
        <w:pStyle w:val="corte4fondo"/>
        <w:tabs>
          <w:tab w:val="left" w:pos="567"/>
        </w:tabs>
        <w:spacing w:line="240" w:lineRule="auto"/>
        <w:rPr>
          <w:rFonts w:cs="Arial"/>
          <w:i/>
          <w:color w:val="4BACC6" w:themeColor="accent5"/>
          <w:sz w:val="20"/>
        </w:rPr>
      </w:pPr>
    </w:p>
    <w:p w:rsidR="00815644" w:rsidRPr="00952799" w:rsidRDefault="00815644" w:rsidP="00815644">
      <w:pPr>
        <w:pStyle w:val="corte4fondo"/>
        <w:tabs>
          <w:tab w:val="left" w:pos="567"/>
        </w:tabs>
        <w:spacing w:line="240" w:lineRule="auto"/>
        <w:rPr>
          <w:rFonts w:cs="Arial"/>
          <w:i/>
          <w:color w:val="4BACC6" w:themeColor="accent5"/>
          <w:sz w:val="20"/>
        </w:rPr>
      </w:pPr>
      <w:r>
        <w:rPr>
          <w:rFonts w:cs="Arial"/>
          <w:i/>
          <w:color w:val="4BACC6" w:themeColor="accent5"/>
          <w:sz w:val="20"/>
        </w:rPr>
        <w:t>b) La copia de los oficios, memorándums, escritos -o cualquiera que sea su denominación-</w:t>
      </w:r>
      <w:r w:rsidR="00322003" w:rsidRPr="00952799">
        <w:rPr>
          <w:rFonts w:cs="Arial"/>
          <w:i/>
          <w:color w:val="4BACC6" w:themeColor="accent5"/>
          <w:sz w:val="20"/>
        </w:rPr>
        <w:t xml:space="preserve"> </w:t>
      </w:r>
      <w:r>
        <w:rPr>
          <w:rFonts w:cs="Arial"/>
          <w:i/>
          <w:color w:val="4BACC6" w:themeColor="accent5"/>
          <w:sz w:val="20"/>
        </w:rPr>
        <w:t>mediante los cuales, la contraloría interna de la UASLP remitió a la ASE sobre las resoluciones de los procedimientos administrativos de responsabilidad, instaurados de las observaciones correspondientes a los ejercicios 2012, dos mil doce, 2013 dos mil trece, 2014 dos mil catorce, 2015 dos mil quince, 2016 dos mil dieciséis.”</w:t>
      </w: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7B520C">
        <w:rPr>
          <w:rFonts w:ascii="Arial" w:hAnsi="Arial" w:cs="Arial"/>
          <w:color w:val="4BACC6" w:themeColor="accent5"/>
          <w:sz w:val="24"/>
          <w:szCs w:val="24"/>
        </w:rPr>
        <w:t xml:space="preserve"> </w:t>
      </w:r>
      <w:r w:rsidR="00E12808">
        <w:rPr>
          <w:rFonts w:ascii="Arial" w:hAnsi="Arial" w:cs="Arial"/>
          <w:color w:val="4BACC6" w:themeColor="accent5"/>
          <w:sz w:val="24"/>
          <w:szCs w:val="24"/>
        </w:rPr>
        <w:t>número</w:t>
      </w:r>
      <w:r w:rsidR="009B7254">
        <w:rPr>
          <w:rFonts w:ascii="Arial" w:hAnsi="Arial" w:cs="Arial"/>
          <w:color w:val="4BACC6" w:themeColor="accent5"/>
          <w:sz w:val="24"/>
          <w:szCs w:val="24"/>
        </w:rPr>
        <w:t xml:space="preserve"> </w:t>
      </w:r>
      <w:r w:rsidR="00622DB4">
        <w:rPr>
          <w:rFonts w:ascii="Arial" w:hAnsi="Arial" w:cs="Arial"/>
          <w:color w:val="4BACC6" w:themeColor="accent5"/>
          <w:sz w:val="24"/>
          <w:szCs w:val="24"/>
        </w:rPr>
        <w:t>ASE-</w:t>
      </w:r>
      <w:r w:rsidR="00C219FC">
        <w:rPr>
          <w:rFonts w:ascii="Arial" w:hAnsi="Arial" w:cs="Arial"/>
          <w:color w:val="4BACC6" w:themeColor="accent5"/>
          <w:sz w:val="24"/>
          <w:szCs w:val="24"/>
        </w:rPr>
        <w:t>UT-157</w:t>
      </w:r>
      <w:r w:rsidR="009B7254">
        <w:rPr>
          <w:rFonts w:ascii="Arial" w:hAnsi="Arial" w:cs="Arial"/>
          <w:color w:val="4BACC6" w:themeColor="accent5"/>
          <w:sz w:val="24"/>
          <w:szCs w:val="24"/>
        </w:rPr>
        <w:t>/2017</w:t>
      </w:r>
      <w:r w:rsidR="001C77AA">
        <w:rPr>
          <w:rFonts w:ascii="Arial" w:hAnsi="Arial" w:cs="Arial"/>
          <w:color w:val="4BACC6" w:themeColor="accent5"/>
          <w:sz w:val="24"/>
          <w:szCs w:val="24"/>
        </w:rPr>
        <w:t xml:space="preserve"> </w:t>
      </w:r>
      <w:r w:rsidR="00352A7B" w:rsidRPr="00D7336A">
        <w:rPr>
          <w:rFonts w:ascii="Arial" w:hAnsi="Arial" w:cs="Arial"/>
          <w:color w:val="4BACC6" w:themeColor="accent5"/>
          <w:sz w:val="24"/>
          <w:szCs w:val="24"/>
        </w:rPr>
        <w:t xml:space="preserve">y de </w:t>
      </w:r>
      <w:r w:rsidRPr="00D7336A">
        <w:rPr>
          <w:rFonts w:ascii="Arial" w:hAnsi="Arial" w:cs="Arial"/>
          <w:color w:val="4BACC6" w:themeColor="accent5"/>
          <w:sz w:val="24"/>
          <w:szCs w:val="24"/>
        </w:rPr>
        <w:t>fecha</w:t>
      </w:r>
      <w:r w:rsidR="00D11CA5">
        <w:rPr>
          <w:rFonts w:ascii="Arial" w:hAnsi="Arial" w:cs="Arial"/>
          <w:color w:val="4BACC6" w:themeColor="accent5"/>
          <w:sz w:val="24"/>
          <w:szCs w:val="24"/>
        </w:rPr>
        <w:t xml:space="preserve"> </w:t>
      </w:r>
      <w:r w:rsidR="00C219FC">
        <w:rPr>
          <w:rFonts w:ascii="Arial" w:hAnsi="Arial" w:cs="Arial"/>
          <w:color w:val="4BACC6" w:themeColor="accent5"/>
          <w:sz w:val="24"/>
          <w:szCs w:val="24"/>
        </w:rPr>
        <w:t xml:space="preserve">trece de septiembre de dos mil </w:t>
      </w:r>
      <w:r w:rsidR="001A3205" w:rsidRPr="00D7336A">
        <w:rPr>
          <w:rFonts w:ascii="Arial" w:hAnsi="Arial" w:cs="Arial"/>
          <w:color w:val="4BACC6" w:themeColor="accent5"/>
          <w:sz w:val="24"/>
          <w:szCs w:val="24"/>
        </w:rPr>
        <w:t>diecisiete</w:t>
      </w:r>
      <w:r w:rsidR="00C219FC">
        <w:rPr>
          <w:rFonts w:ascii="Arial" w:hAnsi="Arial" w:cs="Arial"/>
          <w:color w:val="4BACC6" w:themeColor="accent5"/>
          <w:sz w:val="24"/>
          <w:szCs w:val="24"/>
        </w:rPr>
        <w:t xml:space="preserve"> y recibido en este órgano colegiado el dieciocho de del mimo mes y año</w:t>
      </w:r>
      <w:r w:rsidR="001A3205" w:rsidRPr="00D7336A">
        <w:rPr>
          <w:rFonts w:ascii="Arial" w:hAnsi="Arial" w:cs="Arial"/>
          <w:color w:val="4BACC6" w:themeColor="accent5"/>
          <w:sz w:val="24"/>
          <w:szCs w:val="24"/>
        </w:rPr>
        <w:t>,</w:t>
      </w:r>
      <w:r w:rsidR="006A4610" w:rsidRPr="00D7336A">
        <w:rPr>
          <w:rFonts w:ascii="Arial" w:hAnsi="Arial" w:cs="Arial"/>
          <w:color w:val="4BACC6" w:themeColor="accent5"/>
          <w:sz w:val="24"/>
          <w:szCs w:val="24"/>
        </w:rPr>
        <w:t xml:space="preserve"> con </w:t>
      </w:r>
      <w:r w:rsidR="00C219FC">
        <w:rPr>
          <w:rFonts w:ascii="Arial" w:hAnsi="Arial" w:cs="Arial"/>
          <w:color w:val="4BACC6" w:themeColor="accent5"/>
          <w:sz w:val="24"/>
          <w:szCs w:val="24"/>
        </w:rPr>
        <w:t>7</w:t>
      </w:r>
      <w:r w:rsidR="00943FA9">
        <w:rPr>
          <w:rFonts w:ascii="Arial" w:hAnsi="Arial" w:cs="Arial"/>
          <w:color w:val="4BACC6" w:themeColor="accent5"/>
          <w:sz w:val="24"/>
          <w:szCs w:val="24"/>
        </w:rPr>
        <w:t xml:space="preserve"> </w:t>
      </w:r>
      <w:r w:rsidR="006A4610" w:rsidRPr="00D7336A">
        <w:rPr>
          <w:rFonts w:ascii="Arial" w:hAnsi="Arial" w:cs="Arial"/>
          <w:color w:val="4BACC6" w:themeColor="accent5"/>
          <w:sz w:val="24"/>
          <w:szCs w:val="24"/>
        </w:rPr>
        <w:t>anexo</w:t>
      </w:r>
      <w:r w:rsidR="00943FA9">
        <w:rPr>
          <w:rFonts w:ascii="Arial" w:hAnsi="Arial" w:cs="Arial"/>
          <w:color w:val="4BACC6" w:themeColor="accent5"/>
          <w:sz w:val="24"/>
          <w:szCs w:val="24"/>
        </w:rPr>
        <w:t>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6569DD" w:rsidRDefault="00E12808" w:rsidP="00952799">
      <w:pPr>
        <w:spacing w:after="0" w:line="240" w:lineRule="auto"/>
        <w:ind w:firstLine="708"/>
        <w:jc w:val="both"/>
        <w:rPr>
          <w:rFonts w:ascii="Arial" w:hAnsi="Arial" w:cs="Arial"/>
          <w:i/>
          <w:color w:val="4BACC6" w:themeColor="accent5"/>
        </w:rPr>
      </w:pPr>
      <w:r w:rsidRPr="006569DD">
        <w:rPr>
          <w:rFonts w:ascii="Arial" w:hAnsi="Arial" w:cs="Arial"/>
          <w:i/>
          <w:color w:val="4BACC6" w:themeColor="accent5"/>
        </w:rPr>
        <w:t xml:space="preserve"> </w:t>
      </w:r>
      <w:r w:rsidR="00D11CA5" w:rsidRPr="006569DD">
        <w:rPr>
          <w:rFonts w:ascii="Arial" w:hAnsi="Arial" w:cs="Arial"/>
          <w:i/>
          <w:color w:val="4BACC6" w:themeColor="accent5"/>
        </w:rPr>
        <w:t>[…]</w:t>
      </w:r>
      <w:r w:rsidR="00810456" w:rsidRPr="006569DD">
        <w:rPr>
          <w:rFonts w:ascii="Arial" w:hAnsi="Arial" w:cs="Arial"/>
          <w:i/>
          <w:color w:val="4BACC6" w:themeColor="accent5"/>
        </w:rPr>
        <w:t xml:space="preserve"> </w:t>
      </w:r>
      <w:r w:rsidR="00C219FC">
        <w:rPr>
          <w:rFonts w:ascii="Arial" w:hAnsi="Arial" w:cs="Arial"/>
          <w:i/>
          <w:color w:val="4BACC6" w:themeColor="accent5"/>
        </w:rPr>
        <w:t>en cumplimiento a lo requerido por esa CEGAIP, se remite en copia certificada la documentación proporcionada al recurrente y relativa a: Oficio de Notificación N° ASE-UT-154/2017, Impresión de Pantalla de la Notificación realizada al C. XXXXXXX mediante correo electrónico, así como la información proporcionada al peticionario, la cual consta de 21 (veintiuno) fojas.</w:t>
      </w:r>
      <w:r w:rsidR="00952799">
        <w:rPr>
          <w:rFonts w:ascii="Arial" w:hAnsi="Arial" w:cs="Arial"/>
          <w:i/>
          <w:color w:val="4BACC6" w:themeColor="accent5"/>
        </w:rPr>
        <w:t xml:space="preserve"> </w:t>
      </w:r>
      <w:r w:rsidR="00952799" w:rsidRPr="006569DD">
        <w:rPr>
          <w:rFonts w:ascii="Arial" w:hAnsi="Arial" w:cs="Arial"/>
          <w:i/>
          <w:color w:val="4BACC6" w:themeColor="accent5"/>
        </w:rPr>
        <w:t>[…]</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C219FC">
        <w:rPr>
          <w:rFonts w:cs="Arial"/>
          <w:color w:val="4BACC6" w:themeColor="accent5"/>
          <w:sz w:val="24"/>
          <w:szCs w:val="24"/>
        </w:rPr>
        <w:t>208</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C219FC">
        <w:rPr>
          <w:rFonts w:cs="Arial"/>
          <w:color w:val="4BACC6" w:themeColor="accent5"/>
          <w:sz w:val="24"/>
          <w:szCs w:val="24"/>
        </w:rPr>
        <w:t>238</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w:t>
      </w:r>
      <w:bookmarkStart w:id="1" w:name="_Hlk501451418"/>
      <w:r w:rsidR="00D11CA5" w:rsidRPr="00616C0D">
        <w:rPr>
          <w:rFonts w:cs="Arial"/>
          <w:color w:val="4BACC6" w:themeColor="accent5"/>
          <w:sz w:val="24"/>
          <w:szCs w:val="24"/>
        </w:rPr>
        <w:t>consta</w:t>
      </w:r>
      <w:r w:rsidR="00977800">
        <w:rPr>
          <w:rFonts w:cs="Arial"/>
          <w:color w:val="4BACC6" w:themeColor="accent5"/>
          <w:sz w:val="24"/>
          <w:szCs w:val="24"/>
        </w:rPr>
        <w:t xml:space="preserve"> l</w:t>
      </w:r>
      <w:r w:rsidR="009F00C0">
        <w:rPr>
          <w:rFonts w:cs="Arial"/>
          <w:color w:val="4BACC6" w:themeColor="accent5"/>
          <w:sz w:val="24"/>
          <w:szCs w:val="24"/>
        </w:rPr>
        <w:t>a</w:t>
      </w:r>
      <w:r w:rsidR="00977800">
        <w:rPr>
          <w:rFonts w:cs="Arial"/>
          <w:color w:val="4BACC6" w:themeColor="accent5"/>
          <w:sz w:val="24"/>
          <w:szCs w:val="24"/>
        </w:rPr>
        <w:t xml:space="preserve"> </w:t>
      </w:r>
      <w:r w:rsidR="009F00C0">
        <w:rPr>
          <w:rFonts w:cs="Arial"/>
          <w:color w:val="4BACC6" w:themeColor="accent5"/>
          <w:sz w:val="24"/>
          <w:szCs w:val="24"/>
        </w:rPr>
        <w:t xml:space="preserve">captura de pantalla de la remisión de la información solicitada, </w:t>
      </w:r>
      <w:r w:rsidR="0062606E">
        <w:rPr>
          <w:rFonts w:cs="Arial"/>
          <w:color w:val="4BACC6" w:themeColor="accent5"/>
          <w:sz w:val="24"/>
          <w:szCs w:val="24"/>
        </w:rPr>
        <w:t xml:space="preserve">expedientes de </w:t>
      </w:r>
      <w:r w:rsidR="0062606E">
        <w:rPr>
          <w:rFonts w:cs="Arial"/>
          <w:color w:val="4BACC6" w:themeColor="accent5"/>
          <w:sz w:val="24"/>
          <w:szCs w:val="24"/>
        </w:rPr>
        <w:lastRenderedPageBreak/>
        <w:t>responsabilidad administrativa por observaciones no solventadas motivo de la revisión de las cuentas públicas hechas por la ASE y los oficios por los cuales la contraloría interna de la UASLP remitió a la ASE las resoluciones de los procedimientos administrativos de responsabilidad correspondientes a los años 2012, 2013, 2014, 2015 y 2016</w:t>
      </w:r>
      <w:bookmarkEnd w:id="1"/>
      <w:r w:rsidR="00977800">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la captura de pantalla de la remisión de la información solicitada por el recurrente, </w:t>
      </w:r>
      <w:r w:rsidR="0062606E">
        <w:rPr>
          <w:rFonts w:cs="Arial"/>
          <w:color w:val="4BACC6" w:themeColor="accent5"/>
          <w:sz w:val="24"/>
          <w:szCs w:val="24"/>
        </w:rPr>
        <w:t>el número (cuantos ) y el número de expedientes de responsabilidad administrativa por observaciones no solventadas motivo de la revisión de las cuentas públicas hechas por la ASE y los oficios por los cuales la contraloría interna de la UASLP remitió a la ASE las resoluciones de los procedimientos administrativos de responsabilidad correspondientes a los años 2012, 2013, 2014, 2015 y 2016</w:t>
      </w:r>
      <w:r w:rsidR="00977800">
        <w:rPr>
          <w:rFonts w:cs="Arial"/>
          <w:color w:val="4BACC6" w:themeColor="accent5"/>
          <w:sz w:val="24"/>
          <w:szCs w:val="24"/>
        </w:rPr>
        <w:t>.</w:t>
      </w:r>
      <w:r w:rsidR="006569DD" w:rsidRPr="00467AA8">
        <w:rPr>
          <w:rFonts w:cs="Arial"/>
          <w:color w:val="4BACC6" w:themeColor="accent5"/>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62606E">
        <w:rPr>
          <w:rFonts w:ascii="Arial" w:hAnsi="Arial" w:cs="Arial"/>
          <w:color w:val="4BACC6" w:themeColor="accent5"/>
          <w:sz w:val="24"/>
          <w:szCs w:val="24"/>
        </w:rPr>
        <w:t>dieciocho</w:t>
      </w:r>
      <w:r w:rsidR="009F00C0">
        <w:rPr>
          <w:rFonts w:ascii="Arial" w:hAnsi="Arial" w:cs="Arial"/>
          <w:color w:val="4BACC6" w:themeColor="accent5"/>
          <w:sz w:val="24"/>
          <w:szCs w:val="24"/>
        </w:rPr>
        <w:t xml:space="preserve"> de septiembre</w:t>
      </w:r>
      <w:r w:rsidR="00977800">
        <w:rPr>
          <w:rFonts w:ascii="Arial" w:hAnsi="Arial" w:cs="Arial"/>
          <w:color w:val="4BACC6" w:themeColor="accent5"/>
          <w:sz w:val="24"/>
          <w:szCs w:val="24"/>
        </w:rPr>
        <w:t xml:space="preserve"> </w:t>
      </w:r>
      <w:r w:rsidRPr="00D7336A">
        <w:rPr>
          <w:rFonts w:ascii="Arial" w:hAnsi="Arial" w:cs="Arial"/>
          <w:color w:val="4BACC6" w:themeColor="accent5"/>
          <w:sz w:val="24"/>
          <w:szCs w:val="24"/>
        </w:rPr>
        <w:t>de dos mil diecisiete,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w:t>
      </w:r>
      <w:r w:rsidR="00426890">
        <w:rPr>
          <w:rFonts w:ascii="Arial" w:hAnsi="Arial" w:cs="Arial"/>
          <w:color w:val="4BACC6" w:themeColor="accent5"/>
          <w:sz w:val="24"/>
          <w:szCs w:val="24"/>
        </w:rPr>
        <w:t xml:space="preserve"> visibles a fojas </w:t>
      </w:r>
      <w:r w:rsidR="0062606E">
        <w:rPr>
          <w:rFonts w:ascii="Arial" w:hAnsi="Arial" w:cs="Arial"/>
          <w:color w:val="4BACC6" w:themeColor="accent5"/>
          <w:sz w:val="24"/>
          <w:szCs w:val="24"/>
        </w:rPr>
        <w:t>240</w:t>
      </w:r>
      <w:r w:rsidR="00AB0C8A">
        <w:rPr>
          <w:rFonts w:ascii="Arial" w:hAnsi="Arial" w:cs="Arial"/>
          <w:color w:val="4BACC6" w:themeColor="accent5"/>
          <w:sz w:val="24"/>
          <w:szCs w:val="24"/>
        </w:rPr>
        <w:t xml:space="preserve"> a </w:t>
      </w:r>
      <w:r w:rsidR="0062606E">
        <w:rPr>
          <w:rFonts w:ascii="Arial" w:hAnsi="Arial" w:cs="Arial"/>
          <w:color w:val="4BACC6" w:themeColor="accent5"/>
          <w:sz w:val="24"/>
          <w:szCs w:val="24"/>
        </w:rPr>
        <w:t>242</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w:t>
      </w:r>
      <w:r w:rsidR="004F5CDC" w:rsidRPr="00D7336A">
        <w:rPr>
          <w:rFonts w:ascii="Arial" w:hAnsi="Arial" w:cs="Arial"/>
          <w:color w:val="4BACC6" w:themeColor="accent5"/>
          <w:sz w:val="24"/>
          <w:szCs w:val="24"/>
        </w:rPr>
        <w:lastRenderedPageBreak/>
        <w:t xml:space="preserve">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62606E">
        <w:rPr>
          <w:rFonts w:ascii="Arial" w:hAnsi="Arial" w:cs="Arial"/>
          <w:b/>
          <w:color w:val="4BACC6" w:themeColor="accent5"/>
          <w:sz w:val="24"/>
          <w:szCs w:val="24"/>
        </w:rPr>
        <w:t>179</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color w:val="4BACC6" w:themeColor="accent5"/>
          <w:sz w:val="20"/>
          <w:szCs w:val="20"/>
        </w:rPr>
      </w:pPr>
      <w:r w:rsidRPr="00952799">
        <w:rPr>
          <w:rFonts w:ascii="Arial" w:hAnsi="Arial" w:cs="Arial"/>
          <w:color w:val="4BACC6" w:themeColor="accent5"/>
          <w:sz w:val="20"/>
          <w:szCs w:val="20"/>
        </w:rPr>
        <w:t>O.R.E.J.</w:t>
      </w: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Pr="00952799" w:rsidRDefault="00952799" w:rsidP="00952799">
      <w:pPr>
        <w:jc w:val="both"/>
        <w:rPr>
          <w:rFonts w:ascii="Arial" w:hAnsi="Arial" w:cs="Arial"/>
          <w:color w:val="4BACC6" w:themeColor="accent5"/>
          <w:sz w:val="24"/>
          <w:szCs w:val="24"/>
        </w:rPr>
      </w:pPr>
      <w:r w:rsidRPr="00952799">
        <w:rPr>
          <w:rFonts w:ascii="Arial" w:hAnsi="Arial" w:cs="Arial"/>
          <w:color w:val="4BACC6" w:themeColor="accent5"/>
          <w:sz w:val="24"/>
          <w:szCs w:val="24"/>
        </w:rPr>
        <w:t>(</w:t>
      </w:r>
      <w:r>
        <w:rPr>
          <w:rFonts w:ascii="Arial" w:hAnsi="Arial" w:cs="Arial"/>
          <w:color w:val="4BACC6" w:themeColor="accent5"/>
          <w:sz w:val="24"/>
          <w:szCs w:val="24"/>
        </w:rPr>
        <w:t>E</w:t>
      </w:r>
      <w:r w:rsidRPr="00952799">
        <w:rPr>
          <w:rFonts w:ascii="Arial" w:hAnsi="Arial" w:cs="Arial"/>
          <w:color w:val="4BACC6" w:themeColor="accent5"/>
          <w:sz w:val="24"/>
          <w:szCs w:val="24"/>
        </w:rPr>
        <w:t xml:space="preserve">sta foja pertenece a la parte final del auto de fecha </w:t>
      </w:r>
      <w:r w:rsidR="0062606E">
        <w:rPr>
          <w:rFonts w:ascii="Arial" w:hAnsi="Arial" w:cs="Arial"/>
          <w:color w:val="4BACC6" w:themeColor="accent5"/>
          <w:sz w:val="24"/>
          <w:szCs w:val="24"/>
        </w:rPr>
        <w:t>diecisiete</w:t>
      </w:r>
      <w:r w:rsidRPr="00952799">
        <w:rPr>
          <w:rFonts w:ascii="Arial" w:hAnsi="Arial" w:cs="Arial"/>
          <w:color w:val="4BACC6" w:themeColor="accent5"/>
          <w:sz w:val="24"/>
          <w:szCs w:val="24"/>
        </w:rPr>
        <w:t xml:space="preserve"> de enero de dos mil dieciocho, dictado dentro del Recurso de Revisión 1</w:t>
      </w:r>
      <w:r w:rsidR="0062606E">
        <w:rPr>
          <w:rFonts w:ascii="Arial" w:hAnsi="Arial" w:cs="Arial"/>
          <w:color w:val="4BACC6" w:themeColor="accent5"/>
          <w:sz w:val="24"/>
          <w:szCs w:val="24"/>
        </w:rPr>
        <w:t>79</w:t>
      </w:r>
      <w:r w:rsidRPr="00952799">
        <w:rPr>
          <w:rFonts w:ascii="Arial" w:hAnsi="Arial" w:cs="Arial"/>
          <w:color w:val="4BACC6" w:themeColor="accent5"/>
          <w:sz w:val="24"/>
          <w:szCs w:val="24"/>
        </w:rPr>
        <w:t>/2017-1 PLATAFORMA).</w:t>
      </w:r>
      <w:bookmarkEnd w:id="0"/>
    </w:p>
    <w:sectPr w:rsidR="00952799" w:rsidRPr="00952799"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2C5" w:rsidRDefault="00BE62C5" w:rsidP="00A04BCB">
      <w:pPr>
        <w:spacing w:after="0" w:line="240" w:lineRule="auto"/>
      </w:pPr>
      <w:r>
        <w:separator/>
      </w:r>
    </w:p>
  </w:endnote>
  <w:endnote w:type="continuationSeparator" w:id="0">
    <w:p w:rsidR="00BE62C5" w:rsidRDefault="00BE62C5"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2C5" w:rsidRDefault="00BE62C5" w:rsidP="00A04BCB">
      <w:pPr>
        <w:spacing w:after="0" w:line="240" w:lineRule="auto"/>
      </w:pPr>
      <w:r>
        <w:separator/>
      </w:r>
    </w:p>
  </w:footnote>
  <w:footnote w:type="continuationSeparator" w:id="0">
    <w:p w:rsidR="00BE62C5" w:rsidRDefault="00BE62C5"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322003">
      <w:rPr>
        <w:rFonts w:ascii="Arial" w:hAnsi="Arial" w:cs="Arial"/>
        <w:b/>
      </w:rPr>
      <w:t>1</w:t>
    </w:r>
    <w:r w:rsidR="00012016">
      <w:rPr>
        <w:rFonts w:ascii="Arial" w:hAnsi="Arial" w:cs="Arial"/>
        <w:b/>
      </w:rPr>
      <w:t>79</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12016"/>
    <w:rsid w:val="00022AD6"/>
    <w:rsid w:val="0003028A"/>
    <w:rsid w:val="00080247"/>
    <w:rsid w:val="00090FF9"/>
    <w:rsid w:val="000A4472"/>
    <w:rsid w:val="000A4C73"/>
    <w:rsid w:val="000A4F5D"/>
    <w:rsid w:val="000B62C2"/>
    <w:rsid w:val="000B7F7D"/>
    <w:rsid w:val="000D6BBE"/>
    <w:rsid w:val="000D71A1"/>
    <w:rsid w:val="000E5BF5"/>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2771"/>
    <w:rsid w:val="002C38D0"/>
    <w:rsid w:val="002C5252"/>
    <w:rsid w:val="002D0070"/>
    <w:rsid w:val="002D371A"/>
    <w:rsid w:val="002E4736"/>
    <w:rsid w:val="002F30EF"/>
    <w:rsid w:val="003032F5"/>
    <w:rsid w:val="00312CEA"/>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15C6F"/>
    <w:rsid w:val="0054206B"/>
    <w:rsid w:val="00552902"/>
    <w:rsid w:val="0055402B"/>
    <w:rsid w:val="00555BEA"/>
    <w:rsid w:val="00557692"/>
    <w:rsid w:val="00570D95"/>
    <w:rsid w:val="00580B07"/>
    <w:rsid w:val="005A2395"/>
    <w:rsid w:val="005A774A"/>
    <w:rsid w:val="005D2986"/>
    <w:rsid w:val="005D32BF"/>
    <w:rsid w:val="005D7E54"/>
    <w:rsid w:val="005E15B2"/>
    <w:rsid w:val="00605A77"/>
    <w:rsid w:val="00606D6E"/>
    <w:rsid w:val="00615017"/>
    <w:rsid w:val="00616C0D"/>
    <w:rsid w:val="00622DB4"/>
    <w:rsid w:val="00624699"/>
    <w:rsid w:val="00624ED9"/>
    <w:rsid w:val="00625D1B"/>
    <w:rsid w:val="0062606E"/>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77C"/>
    <w:rsid w:val="007B1813"/>
    <w:rsid w:val="007B30A9"/>
    <w:rsid w:val="007B520C"/>
    <w:rsid w:val="007C6459"/>
    <w:rsid w:val="007C70EC"/>
    <w:rsid w:val="007E7A46"/>
    <w:rsid w:val="008024C9"/>
    <w:rsid w:val="00803BF0"/>
    <w:rsid w:val="00810456"/>
    <w:rsid w:val="00815644"/>
    <w:rsid w:val="0082057A"/>
    <w:rsid w:val="008334F5"/>
    <w:rsid w:val="00845E58"/>
    <w:rsid w:val="00852028"/>
    <w:rsid w:val="0085470E"/>
    <w:rsid w:val="00874C83"/>
    <w:rsid w:val="0088125B"/>
    <w:rsid w:val="0088536D"/>
    <w:rsid w:val="00897B0C"/>
    <w:rsid w:val="008A6B41"/>
    <w:rsid w:val="008B15BA"/>
    <w:rsid w:val="008C22E2"/>
    <w:rsid w:val="008D0A3C"/>
    <w:rsid w:val="008F388A"/>
    <w:rsid w:val="008F6149"/>
    <w:rsid w:val="009039C8"/>
    <w:rsid w:val="00904010"/>
    <w:rsid w:val="00906B75"/>
    <w:rsid w:val="009124C4"/>
    <w:rsid w:val="0092572B"/>
    <w:rsid w:val="00943FA9"/>
    <w:rsid w:val="0094536F"/>
    <w:rsid w:val="00952799"/>
    <w:rsid w:val="00977800"/>
    <w:rsid w:val="0098511D"/>
    <w:rsid w:val="009B23C6"/>
    <w:rsid w:val="009B7254"/>
    <w:rsid w:val="009C2B81"/>
    <w:rsid w:val="009C4466"/>
    <w:rsid w:val="009D0019"/>
    <w:rsid w:val="009D2BB8"/>
    <w:rsid w:val="009D3602"/>
    <w:rsid w:val="009E456E"/>
    <w:rsid w:val="009F00AF"/>
    <w:rsid w:val="009F00C0"/>
    <w:rsid w:val="00A04BCB"/>
    <w:rsid w:val="00A050F1"/>
    <w:rsid w:val="00A06A4A"/>
    <w:rsid w:val="00A24594"/>
    <w:rsid w:val="00A61517"/>
    <w:rsid w:val="00A62F8D"/>
    <w:rsid w:val="00A630A6"/>
    <w:rsid w:val="00A7066C"/>
    <w:rsid w:val="00A75DA0"/>
    <w:rsid w:val="00A8436E"/>
    <w:rsid w:val="00A94565"/>
    <w:rsid w:val="00AA3735"/>
    <w:rsid w:val="00AA5027"/>
    <w:rsid w:val="00AB0C8A"/>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BE62C5"/>
    <w:rsid w:val="00C0019F"/>
    <w:rsid w:val="00C0023E"/>
    <w:rsid w:val="00C003C0"/>
    <w:rsid w:val="00C16EC4"/>
    <w:rsid w:val="00C219FC"/>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8E163-A1C5-4303-B901-540998AEF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5281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2017-11-27T18:27:00Z</cp:lastPrinted>
  <dcterms:created xsi:type="dcterms:W3CDTF">2018-02-09T18:34:00Z</dcterms:created>
  <dcterms:modified xsi:type="dcterms:W3CDTF">2018-02-09T18:34:00Z</dcterms:modified>
</cp:coreProperties>
</file>